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A47CD">
      <w:pPr>
        <w:spacing w:before="200" w:after="300"/>
        <w:jc w:val="left"/>
        <w:rPr>
          <w:rFonts w:ascii="Times New Roman" w:hAnsi="Times New Roman" w:eastAsia="FangSong_GB2312"/>
          <w:b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b/>
          <w:kern w:val="0"/>
          <w:sz w:val="32"/>
          <w:szCs w:val="32"/>
        </w:rPr>
        <w:t>附件</w:t>
      </w:r>
      <w:r>
        <w:rPr>
          <w:rFonts w:ascii="FangSong_GB2312" w:hAnsi="FangSong_GB2312" w:eastAsia="FangSong_GB2312" w:cs="FangSong_GB2312"/>
          <w:b/>
          <w:kern w:val="0"/>
          <w:sz w:val="32"/>
          <w:szCs w:val="32"/>
        </w:rPr>
        <w:t>2</w:t>
      </w:r>
    </w:p>
    <w:p w14:paraId="522DBB81">
      <w:pPr>
        <w:topLinePunct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评分标准表</w:t>
      </w:r>
    </w:p>
    <w:p w14:paraId="71B017CB">
      <w:pPr>
        <w:pStyle w:val="2"/>
        <w:rPr>
          <w:rFonts w:hint="eastAsia"/>
        </w:rPr>
      </w:pPr>
    </w:p>
    <w:tbl>
      <w:tblPr>
        <w:tblStyle w:val="3"/>
        <w:tblW w:w="95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00"/>
        <w:gridCol w:w="1800"/>
        <w:gridCol w:w="700"/>
        <w:gridCol w:w="5606"/>
        <w:gridCol w:w="800"/>
      </w:tblGrid>
      <w:tr w14:paraId="1568E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BD2ADE">
            <w:pPr>
              <w:spacing w:before="20" w:after="20" w:line="276" w:lineRule="auto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E56213">
            <w:pPr>
              <w:spacing w:before="20" w:after="20" w:line="276" w:lineRule="auto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>评分因素及权重</w:t>
            </w:r>
          </w:p>
        </w:tc>
        <w:tc>
          <w:tcPr>
            <w:tcW w:w="7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04D565">
            <w:pPr>
              <w:spacing w:before="20" w:after="20" w:line="276" w:lineRule="auto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56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FC5572">
            <w:pPr>
              <w:spacing w:before="20" w:after="20" w:line="276" w:lineRule="auto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>评分标准</w:t>
            </w: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A849B3">
            <w:pPr>
              <w:spacing w:before="20" w:after="20" w:line="276" w:lineRule="auto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>得分</w:t>
            </w:r>
          </w:p>
        </w:tc>
      </w:tr>
      <w:tr w14:paraId="4ED1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6918D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BCFB6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commentRangeStart w:id="0"/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投标文件规范10%</w:t>
            </w:r>
            <w:commentRangeEnd w:id="0"/>
            <w:r>
              <w:rPr>
                <w:rStyle w:val="5"/>
                <w:rFonts w:hint="eastAsia" w:ascii="FangSong_GB2312" w:hAnsi="FangSong_GB2312" w:eastAsia="FangSong_GB2312" w:cs="FangSong_GB2312"/>
                <w:b/>
                <w:bCs/>
                <w:szCs w:val="24"/>
              </w:rPr>
              <w:commentReference w:id="0"/>
            </w:r>
          </w:p>
        </w:tc>
        <w:tc>
          <w:tcPr>
            <w:tcW w:w="7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9FC8D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10分</w:t>
            </w:r>
          </w:p>
        </w:tc>
        <w:tc>
          <w:tcPr>
            <w:tcW w:w="56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EEDAAA">
            <w:pPr>
              <w:spacing w:before="20" w:after="20" w:line="276" w:lineRule="auto"/>
              <w:jc w:val="left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投标文件按资质要求和评分办法的内容依次摆放整理规范的得10分，每有一处不符合的扣1分。</w:t>
            </w: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3E441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</w:p>
        </w:tc>
      </w:tr>
      <w:tr w14:paraId="37D4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58ED5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A1253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报价50%</w:t>
            </w:r>
          </w:p>
        </w:tc>
        <w:tc>
          <w:tcPr>
            <w:tcW w:w="7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9078C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50分</w:t>
            </w:r>
          </w:p>
        </w:tc>
        <w:tc>
          <w:tcPr>
            <w:tcW w:w="56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1CC7E">
            <w:pPr>
              <w:spacing w:before="20" w:after="20" w:line="276" w:lineRule="auto"/>
              <w:jc w:val="left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经评审的最低有效评审报价作为评审基准价，其报价得满分50分；其他供应商的报价得分按“最终报价得分=(评审基准价/最终报价)×50分”计算。低于最高限价的85%并且低于所有供应商评标价算术平均值的90%的则投标无效。</w:t>
            </w: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E5F4A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</w:p>
        </w:tc>
      </w:tr>
      <w:tr w14:paraId="63F2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7DFCB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0303B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履约能力16%</w:t>
            </w:r>
          </w:p>
        </w:tc>
        <w:tc>
          <w:tcPr>
            <w:tcW w:w="7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E6D04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16分</w:t>
            </w:r>
          </w:p>
        </w:tc>
        <w:tc>
          <w:tcPr>
            <w:tcW w:w="56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C90E4">
            <w:pPr>
              <w:spacing w:before="20" w:after="20" w:line="276" w:lineRule="auto"/>
              <w:jc w:val="left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近3年，即202</w:t>
            </w:r>
            <w:r>
              <w:rPr>
                <w:rFonts w:ascii="FangSong_GB2312" w:hAnsi="FangSong_GB2312" w:eastAsia="FangSong_GB2312" w:cs="FangSong_GB2312"/>
                <w:b/>
                <w:bCs/>
                <w:sz w:val="20"/>
                <w:szCs w:val="20"/>
              </w:rPr>
              <w:t>3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年</w:t>
            </w:r>
            <w:r>
              <w:rPr>
                <w:rFonts w:hint="default" w:ascii="FangSong_GB2312" w:hAnsi="FangSong_GB2312" w:eastAsia="FangSong_GB2312" w:cs="FangSong_GB2312"/>
                <w:b/>
                <w:bCs/>
                <w:sz w:val="20"/>
                <w:szCs w:val="20"/>
                <w:lang w:val="en-US"/>
              </w:rPr>
              <w:t>8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月至今，参选人具有类似项目履约能力（经历），提供合同复印件并加盖投标单位公章，每有1个得4分，本项最高16分。</w:t>
            </w: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534F3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</w:p>
        </w:tc>
      </w:tr>
      <w:tr w14:paraId="56EC6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5CF803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3BC3E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完善的服务体系24%</w:t>
            </w:r>
          </w:p>
        </w:tc>
        <w:tc>
          <w:tcPr>
            <w:tcW w:w="7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3DCD23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24分</w:t>
            </w:r>
          </w:p>
        </w:tc>
        <w:tc>
          <w:tcPr>
            <w:tcW w:w="56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C9435">
            <w:pPr>
              <w:spacing w:before="20" w:after="20" w:line="276" w:lineRule="auto"/>
              <w:jc w:val="left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供应商根据本项目特点，提供项目实施方案至少包含但不限于：（1）服务内容；（2）服务响应时间；（3）服务人员配置。以上3项方案齐全、满足本项目要求、具有可执行性、且有利于本项目实施得24分，方案中每有一处内容有缺陷的扣2分，每有一项方案缺失扣8分，扣完为止。</w:t>
            </w:r>
          </w:p>
          <w:p w14:paraId="72A65485">
            <w:pPr>
              <w:spacing w:before="20" w:after="20" w:line="276" w:lineRule="auto"/>
              <w:jc w:val="left"/>
              <w:rPr>
                <w:rFonts w:hint="eastAsia" w:ascii="FangSong_GB2312" w:hAnsi="FangSong_GB2312" w:eastAsia="FangSong_GB2312" w:cs="FangSong_GB2312"/>
                <w:b/>
                <w:bCs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z w:val="20"/>
                <w:szCs w:val="20"/>
              </w:rPr>
              <w:t>注：缺陷是指供应商所提供的内容存在不适用项目实际情况的情形、套用其他方案、凭空编造、逻辑漏洞、不完善、科学原理错误以及不可能实现的夸大情形等情况。</w:t>
            </w:r>
          </w:p>
        </w:tc>
        <w:tc>
          <w:tcPr>
            <w:tcW w:w="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6DC787">
            <w:pPr>
              <w:spacing w:before="20" w:after="20" w:line="276" w:lineRule="auto"/>
              <w:jc w:val="center"/>
              <w:rPr>
                <w:rFonts w:hint="eastAsia" w:ascii="FangSong_GB2312" w:hAnsi="FangSong_GB2312" w:eastAsia="FangSong_GB2312" w:cs="FangSong_GB2312"/>
                <w:b/>
                <w:bCs/>
              </w:rPr>
            </w:pPr>
          </w:p>
        </w:tc>
      </w:tr>
    </w:tbl>
    <w:p w14:paraId="5F950037">
      <w:pPr>
        <w:spacing w:before="300"/>
        <w:rPr>
          <w:b/>
          <w:bCs/>
        </w:rPr>
      </w:pPr>
    </w:p>
    <w:p w14:paraId="7801B1DA">
      <w:pPr>
        <w:spacing w:before="100" w:after="50" w:line="280" w:lineRule="exact"/>
        <w:rPr>
          <w:b/>
          <w:bCs/>
        </w:rPr>
      </w:pPr>
      <w:r>
        <w:rPr>
          <w:rFonts w:ascii="黑体" w:hAnsi="黑体" w:eastAsia="黑体" w:cs="黑体"/>
          <w:b/>
          <w:bCs/>
          <w:sz w:val="20"/>
          <w:szCs w:val="20"/>
        </w:rPr>
        <w:t>说明：</w:t>
      </w:r>
    </w:p>
    <w:p w14:paraId="27D7BA9E">
      <w:pPr>
        <w:spacing w:before="50" w:after="50" w:line="280" w:lineRule="exact"/>
        <w:ind w:left="360"/>
        <w:rPr>
          <w:rFonts w:hint="eastAsia" w:ascii="FangSong_GB2312" w:hAnsi="FangSong_GB2312" w:eastAsia="FangSong_GB2312" w:cs="FangSong_GB2312"/>
          <w:b/>
          <w:bCs/>
        </w:rPr>
      </w:pPr>
      <w:r>
        <w:rPr>
          <w:rFonts w:hint="eastAsia" w:ascii="FangSong_GB2312" w:hAnsi="FangSong_GB2312" w:eastAsia="FangSong_GB2312" w:cs="FangSong_GB2312"/>
          <w:b/>
          <w:bCs/>
          <w:sz w:val="20"/>
          <w:szCs w:val="20"/>
        </w:rPr>
        <w:t>1.本评分标准总分100分，由投标文件规范（10%）、报价（50%）、履约能力（16%）、完善的服务体系（24%）四部分组成。</w:t>
      </w:r>
    </w:p>
    <w:p w14:paraId="2F906A60">
      <w:pPr>
        <w:spacing w:before="50" w:after="50" w:line="280" w:lineRule="exact"/>
        <w:ind w:left="360"/>
        <w:rPr>
          <w:rFonts w:hint="eastAsia" w:ascii="FangSong_GB2312" w:hAnsi="FangSong_GB2312" w:eastAsia="FangSong_GB2312" w:cs="FangSong_GB2312"/>
          <w:b/>
          <w:bCs/>
        </w:rPr>
      </w:pPr>
      <w:r>
        <w:rPr>
          <w:rFonts w:hint="eastAsia" w:ascii="FangSong_GB2312" w:hAnsi="FangSong_GB2312" w:eastAsia="FangSong_GB2312" w:cs="FangSong_GB2312"/>
          <w:b/>
          <w:bCs/>
          <w:sz w:val="20"/>
          <w:szCs w:val="20"/>
        </w:rPr>
        <w:t>2.报价得分采用低价优先法计算，评审基准价为最低有效报价。</w:t>
      </w:r>
    </w:p>
    <w:p w14:paraId="1C3458EE">
      <w:pPr>
        <w:spacing w:before="50" w:after="50" w:line="280" w:lineRule="exact"/>
        <w:ind w:left="360"/>
        <w:rPr>
          <w:rFonts w:hint="eastAsia" w:ascii="FangSong_GB2312" w:hAnsi="FangSong_GB2312" w:eastAsia="FangSong_GB2312" w:cs="FangSong_GB2312"/>
          <w:b/>
          <w:bCs/>
          <w:sz w:val="20"/>
          <w:szCs w:val="20"/>
        </w:rPr>
      </w:pPr>
      <w:r>
        <w:rPr>
          <w:rFonts w:hint="eastAsia" w:ascii="FangSong_GB2312" w:hAnsi="FangSong_GB2312" w:eastAsia="FangSong_GB2312" w:cs="FangSong_GB2312"/>
          <w:b/>
          <w:bCs/>
          <w:sz w:val="20"/>
          <w:szCs w:val="20"/>
        </w:rPr>
        <w:t>3.履约能力以202</w:t>
      </w:r>
      <w:r>
        <w:rPr>
          <w:rFonts w:ascii="FangSong_GB2312" w:hAnsi="FangSong_GB2312" w:eastAsia="FangSong_GB2312" w:cs="FangSong_GB2312"/>
          <w:b/>
          <w:bCs/>
          <w:sz w:val="20"/>
          <w:szCs w:val="20"/>
        </w:rPr>
        <w:t>3</w:t>
      </w:r>
      <w:r>
        <w:rPr>
          <w:rFonts w:hint="eastAsia" w:ascii="FangSong_GB2312" w:hAnsi="FangSong_GB2312" w:eastAsia="FangSong_GB2312" w:cs="FangSong_GB2312"/>
          <w:b/>
          <w:bCs/>
          <w:sz w:val="20"/>
          <w:szCs w:val="20"/>
        </w:rPr>
        <w:t>年</w:t>
      </w:r>
      <w:r>
        <w:rPr>
          <w:rFonts w:hint="default" w:ascii="FangSong_GB2312" w:hAnsi="FangSong_GB2312" w:eastAsia="FangSong_GB2312" w:cs="FangSong_GB2312"/>
          <w:b/>
          <w:bCs/>
          <w:sz w:val="20"/>
          <w:szCs w:val="20"/>
          <w:lang w:val="en-US"/>
        </w:rPr>
        <w:t>8</w:t>
      </w:r>
      <w:r>
        <w:rPr>
          <w:rFonts w:hint="eastAsia" w:ascii="FangSong_GB2312" w:hAnsi="FangSong_GB2312" w:eastAsia="FangSong_GB2312" w:cs="FangSong_GB2312"/>
          <w:b/>
          <w:bCs/>
          <w:sz w:val="20"/>
          <w:szCs w:val="20"/>
        </w:rPr>
        <w:t>月至今的类似项目合同复印件为评分依据，每提供1个有效合同得4分，最高16分。</w:t>
      </w:r>
    </w:p>
    <w:p w14:paraId="75E7D0FC">
      <w:pPr>
        <w:spacing w:before="50" w:after="50" w:line="280" w:lineRule="exact"/>
        <w:ind w:left="360"/>
      </w:pPr>
      <w:bookmarkStart w:id="0" w:name="_GoBack"/>
      <w:bookmarkEnd w:id="0"/>
      <w:r>
        <w:rPr>
          <w:rFonts w:hint="eastAsia" w:ascii="FangSong_GB2312" w:hAnsi="FangSong_GB2312" w:eastAsia="FangSong_GB2312" w:cs="FangSong_GB2312"/>
          <w:b/>
          <w:bCs/>
          <w:sz w:val="20"/>
          <w:szCs w:val="20"/>
        </w:rPr>
        <w:t>4.完善的服务体系重点评审实施方案的完整性、针对性和可执行性，缺陷认定标准详见评分标准注。</w:t>
      </w:r>
    </w:p>
    <w:sectPr>
      <w:footerReference r:id="rId5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SQ" w:date="2026-08-04T17:53:00Z" w:initials="S">
    <w:p w14:paraId="2A02B974">
      <w:pPr>
        <w:jc w:val="left"/>
      </w:pPr>
      <w:r>
        <w:rPr>
          <w:rFonts w:hint="eastAsia"/>
        </w:rPr>
        <w:t>该分值与本项目采购需求无直接关联性，且分值较高，是否合理？建议核实。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A02B97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9AE1F3-3634-4A21-AD4E-C243203DD7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EB0DB3-D3B9-42E6-A792-A4601F9CA9D7}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10" w:usb3="00000000" w:csb0="00040001" w:csb1="00000000"/>
    <w:embedRegular r:id="rId3" w:fontKey="{3FCB2A38-50E5-4C97-8ED4-E1E98444520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5209BCF-B07B-4582-A7F9-597478CAD22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BF03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24EA0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D2TH3RAAAAAwEAAA8AAAAAAAAAAQAgAAAAIgAAAGRycy9kb3du&#10;cmV2LnhtbFBLAQIUABQAAAAIAIdO4kDIKsOgzQEAAJcDAAAOAAAAAAAAAAEAIAAAACABAABkcnMv&#10;ZTJvRG9jLnhtbFBLBQYAAAAABgAGAFkBAABf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624EA0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Q">
    <w15:presenceInfo w15:providerId="None" w15:userId="SQ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E48D8"/>
    <w:rsid w:val="3AEE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annotation reference"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2026-08-11T02:34:00Z</dcterms:created>
  <dc:creator>李国华</dc:creator>
  <cp:lastModifiedBy>李国华</cp:lastModifiedBy>
  <dcterms:modified xsi:type="dcterms:W3CDTF">2026-08-11T02:37:33Z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ABC887301CBF458984402A6A885001A0_11</vt:lpwstr>
  </property>
  <property fmtid="{D5CDD505-2E9C-101B-9397-08002B2CF9AE}" pid="4" name="KSOTemplateDocerSaveRecord">
    <vt:lpwstr>eyJoZGlkIjoiYTQ1ZDM0ZmQwYjM1Nzg1ZTBiZmM4YTE2Njk2YzU1NzEiLCJ1c2VySWQiOiIzMDkyNDc4MzAifQ==</vt:lpwstr>
  </property>
</Properties>
</file>